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3BF03E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00C0303E" w:rsidRPr="00C0303E">
        <w:rPr>
          <w:bCs/>
          <w:noProof w:val="0"/>
          <w:sz w:val="24"/>
          <w:szCs w:val="24"/>
        </w:rPr>
        <w:t>R2-2010059</w:t>
      </w:r>
      <w:bookmarkStart w:id="0" w:name="_GoBack"/>
      <w:bookmarkEnd w:id="0"/>
    </w:p>
    <w:p w14:paraId="11776FA6" w14:textId="3B96DCA4" w:rsidR="00A209D6" w:rsidRPr="00465587" w:rsidRDefault="00696821" w:rsidP="00A209D6">
      <w:pPr>
        <w:pStyle w:val="Header"/>
        <w:tabs>
          <w:tab w:val="right" w:pos="9639"/>
        </w:tabs>
        <w:rPr>
          <w:rFonts w:eastAsia="SimSun"/>
          <w:bCs/>
          <w:sz w:val="24"/>
          <w:szCs w:val="24"/>
          <w:lang w:eastAsia="zh-CN"/>
        </w:rPr>
      </w:pPr>
      <w:r>
        <w:rPr>
          <w:rFonts w:eastAsia="SimSun"/>
          <w:bCs/>
          <w:sz w:val="24"/>
          <w:szCs w:val="24"/>
          <w:lang w:eastAsia="zh-CN"/>
        </w:rPr>
        <w:t>02</w:t>
      </w:r>
      <w:r w:rsidR="006574C0" w:rsidRPr="006574C0">
        <w:rPr>
          <w:rFonts w:eastAsia="SimSun"/>
          <w:bCs/>
          <w:sz w:val="24"/>
          <w:szCs w:val="24"/>
          <w:lang w:eastAsia="zh-CN"/>
        </w:rPr>
        <w:t xml:space="preserve"> – </w:t>
      </w:r>
      <w:r>
        <w:rPr>
          <w:rFonts w:eastAsia="SimSun"/>
          <w:bCs/>
          <w:sz w:val="24"/>
          <w:szCs w:val="24"/>
          <w:lang w:eastAsia="zh-CN"/>
        </w:rPr>
        <w:t>13</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p>
    <w:p w14:paraId="403CB9C0" w14:textId="77777777" w:rsidR="00A209D6" w:rsidRPr="00B266B0" w:rsidRDefault="00A209D6" w:rsidP="00A209D6">
      <w:pPr>
        <w:pStyle w:val="Header"/>
        <w:rPr>
          <w:bCs/>
          <w:noProof w:val="0"/>
          <w:sz w:val="24"/>
        </w:rPr>
      </w:pPr>
    </w:p>
    <w:p w14:paraId="74AEDB1B" w14:textId="60E4018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23F0" w:rsidRPr="00CB3AE4">
        <w:rPr>
          <w:rFonts w:cs="Arial"/>
          <w:b/>
          <w:bCs/>
          <w:sz w:val="24"/>
        </w:rPr>
        <w:t>8.</w:t>
      </w:r>
      <w:r w:rsidR="00CB3AE4" w:rsidRPr="00CB3AE4">
        <w:rPr>
          <w:rFonts w:cs="Arial"/>
          <w:b/>
          <w:bCs/>
          <w:sz w:val="24"/>
        </w:rPr>
        <w:t>15.4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615A7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303E">
        <w:rPr>
          <w:rFonts w:ascii="Arial" w:hAnsi="Arial" w:cs="Arial"/>
          <w:b/>
          <w:bCs/>
          <w:sz w:val="24"/>
        </w:rPr>
        <w:t xml:space="preserve">Discussion on </w:t>
      </w:r>
      <w:r w:rsidR="00C0303E" w:rsidRPr="00C0303E">
        <w:rPr>
          <w:rFonts w:ascii="Arial" w:hAnsi="Arial" w:cs="Arial"/>
          <w:b/>
          <w:bCs/>
          <w:sz w:val="24"/>
        </w:rPr>
        <w:t>Simultaneous</w:t>
      </w:r>
      <w:r w:rsidR="00C0303E">
        <w:rPr>
          <w:rFonts w:ascii="Arial" w:hAnsi="Arial" w:cs="Arial"/>
          <w:b/>
          <w:bCs/>
          <w:sz w:val="24"/>
        </w:rPr>
        <w:t xml:space="preserve"> mode 1 and mode 2 operation and LCP enhancements</w:t>
      </w:r>
    </w:p>
    <w:p w14:paraId="1F147C23" w14:textId="2E75FF4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84DB8" w:rsidRPr="004025F7">
        <w:rPr>
          <w:rFonts w:ascii="Arial" w:hAnsi="Arial" w:cs="Arial"/>
          <w:b/>
          <w:bCs/>
          <w:sz w:val="24"/>
        </w:rPr>
        <w:t>NR_SL_enh-Core</w:t>
      </w:r>
      <w:r w:rsidR="00E84DB8" w:rsidRPr="00112F1A">
        <w:rPr>
          <w:rFonts w:ascii="Arial" w:hAnsi="Arial" w:cs="Arial"/>
          <w:b/>
          <w:bCs/>
          <w:sz w:val="24"/>
        </w:rPr>
        <w:t xml:space="preserve"> </w:t>
      </w:r>
      <w:r w:rsidR="00E84DB8">
        <w:rPr>
          <w:rFonts w:ascii="Arial" w:hAnsi="Arial" w:cs="Arial"/>
          <w:b/>
          <w:bCs/>
          <w:sz w:val="24"/>
        </w:rPr>
        <w:t xml:space="preserve">- Release </w:t>
      </w:r>
      <w:r w:rsidR="0068234D">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6A37186" w14:textId="16971F72" w:rsidR="001E6170" w:rsidRPr="00DA3BC4" w:rsidRDefault="001E6170" w:rsidP="001E6170">
      <w:r w:rsidRPr="00DA3BC4">
        <w:t xml:space="preserve">In this contribution, we provide our view on </w:t>
      </w:r>
      <w:r w:rsidR="00291F8C">
        <w:t>other topics to be considered by RAN2 in release 17</w:t>
      </w:r>
      <w:r w:rsidRPr="00DA3BC4">
        <w:t>.</w:t>
      </w:r>
    </w:p>
    <w:p w14:paraId="2BBFF540" w14:textId="561DB541" w:rsidR="00A209D6" w:rsidRPr="006E13D1" w:rsidRDefault="00A209D6" w:rsidP="00A209D6">
      <w:pPr>
        <w:pStyle w:val="Heading1"/>
      </w:pPr>
      <w:r w:rsidRPr="006E13D1">
        <w:t>2</w:t>
      </w:r>
      <w:r w:rsidRPr="006E13D1">
        <w:tab/>
      </w:r>
      <w:r w:rsidR="000A6307">
        <w:t>Discussion</w:t>
      </w:r>
    </w:p>
    <w:p w14:paraId="29D13328" w14:textId="457E617F" w:rsidR="00FC4513" w:rsidRDefault="00FC4513" w:rsidP="005F08A3">
      <w:pPr>
        <w:pStyle w:val="Heading2"/>
      </w:pPr>
      <w:r>
        <w:t>2.1.</w:t>
      </w:r>
      <w:r w:rsidR="00291F8C">
        <w:t xml:space="preserve"> Simultaneous mode 1 and mode 2</w:t>
      </w:r>
    </w:p>
    <w:p w14:paraId="6BFEC5C5" w14:textId="0AA2122B" w:rsidR="00071407" w:rsidRDefault="00071407" w:rsidP="00071407">
      <w:r>
        <w:t xml:space="preserve">In release 16, the support for simultaneous mode 1 and mode 2 </w:t>
      </w:r>
      <w:r w:rsidRPr="00DD28FC">
        <w:t>w</w:t>
      </w:r>
      <w:r>
        <w:t>as originally approved as one objective for the WI on 5G V2X with NR sidelink [1], as:</w:t>
      </w:r>
    </w:p>
    <w:tbl>
      <w:tblPr>
        <w:tblStyle w:val="TableGrid"/>
        <w:tblW w:w="0" w:type="auto"/>
        <w:tblLook w:val="04A0" w:firstRow="1" w:lastRow="0" w:firstColumn="1" w:lastColumn="0" w:noHBand="0" w:noVBand="1"/>
      </w:tblPr>
      <w:tblGrid>
        <w:gridCol w:w="9631"/>
      </w:tblGrid>
      <w:tr w:rsidR="00071407" w14:paraId="1F075E0F" w14:textId="77777777" w:rsidTr="00DF2009">
        <w:tc>
          <w:tcPr>
            <w:tcW w:w="9631" w:type="dxa"/>
          </w:tcPr>
          <w:p w14:paraId="27F5FCD8" w14:textId="77777777" w:rsidR="00071407" w:rsidRDefault="00071407" w:rsidP="00DF200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sidelink unicast, sidelink groupcast, and sidelink broadcast for V2X services, considering </w:t>
            </w:r>
            <w:r w:rsidRPr="00721DE0">
              <w:rPr>
                <w:bCs/>
              </w:rPr>
              <w:t>in-network coverage, out-of-network coverage, and partial network coverage</w:t>
            </w:r>
            <w:r>
              <w:rPr>
                <w:lang w:eastAsia="ko-KR"/>
              </w:rPr>
              <w:t>.</w:t>
            </w:r>
          </w:p>
          <w:p w14:paraId="22F1C210" w14:textId="77777777" w:rsidR="00071407" w:rsidRDefault="00071407" w:rsidP="00071407">
            <w:pPr>
              <w:numPr>
                <w:ilvl w:val="0"/>
                <w:numId w:val="17"/>
              </w:numPr>
              <w:overflowPunct w:val="0"/>
              <w:autoSpaceDE w:val="0"/>
              <w:autoSpaceDN w:val="0"/>
              <w:adjustRightInd w:val="0"/>
              <w:jc w:val="both"/>
              <w:textAlignment w:val="baseline"/>
              <w:rPr>
                <w:lang w:eastAsia="ko-KR"/>
              </w:rPr>
            </w:pPr>
            <w:r>
              <w:rPr>
                <w:lang w:eastAsia="ko-KR"/>
              </w:rPr>
              <w:t>Support of sidelink signals, channels, bandwidth part, and resource pools [RAN1, RAN2]</w:t>
            </w:r>
          </w:p>
          <w:p w14:paraId="2FAEA041" w14:textId="77777777" w:rsidR="00071407" w:rsidRDefault="00071407" w:rsidP="00071407">
            <w:pPr>
              <w:numPr>
                <w:ilvl w:val="0"/>
                <w:numId w:val="17"/>
              </w:numPr>
              <w:overflowPunct w:val="0"/>
              <w:autoSpaceDE w:val="0"/>
              <w:autoSpaceDN w:val="0"/>
              <w:adjustRightInd w:val="0"/>
              <w:jc w:val="both"/>
              <w:textAlignment w:val="baseline"/>
              <w:rPr>
                <w:lang w:eastAsia="ko-KR"/>
              </w:rPr>
            </w:pPr>
            <w:r>
              <w:rPr>
                <w:lang w:eastAsia="ko-KR"/>
              </w:rPr>
              <w:t>Resource allocation [RAN1, RAN2]</w:t>
            </w:r>
          </w:p>
          <w:p w14:paraId="5946992E" w14:textId="77777777" w:rsidR="00071407" w:rsidRDefault="00071407" w:rsidP="00071407">
            <w:pPr>
              <w:numPr>
                <w:ilvl w:val="1"/>
                <w:numId w:val="17"/>
              </w:numPr>
              <w:overflowPunct w:val="0"/>
              <w:autoSpaceDE w:val="0"/>
              <w:autoSpaceDN w:val="0"/>
              <w:adjustRightInd w:val="0"/>
              <w:jc w:val="both"/>
              <w:textAlignment w:val="baseline"/>
              <w:rPr>
                <w:lang w:eastAsia="ko-KR"/>
              </w:rPr>
            </w:pPr>
            <w:r>
              <w:rPr>
                <w:lang w:eastAsia="ko-KR"/>
              </w:rPr>
              <w:t>Mode 1</w:t>
            </w:r>
          </w:p>
          <w:p w14:paraId="046F6310" w14:textId="77777777" w:rsidR="00071407" w:rsidRDefault="00071407" w:rsidP="00071407">
            <w:pPr>
              <w:numPr>
                <w:ilvl w:val="2"/>
                <w:numId w:val="17"/>
              </w:numPr>
              <w:overflowPunct w:val="0"/>
              <w:autoSpaceDE w:val="0"/>
              <w:autoSpaceDN w:val="0"/>
              <w:adjustRightInd w:val="0"/>
              <w:jc w:val="both"/>
              <w:textAlignment w:val="baseline"/>
              <w:rPr>
                <w:lang w:eastAsia="ko-KR"/>
              </w:rPr>
            </w:pPr>
            <w:r>
              <w:rPr>
                <w:lang w:eastAsia="ko-KR"/>
              </w:rPr>
              <w:t xml:space="preserve">NR sidelink scheduling by NR Uu and LTE Uu as </w:t>
            </w:r>
            <w:r>
              <w:rPr>
                <w:rFonts w:hint="eastAsia"/>
                <w:lang w:eastAsia="ko-KR"/>
              </w:rPr>
              <w:t xml:space="preserve">per </w:t>
            </w:r>
            <w:r>
              <w:rPr>
                <w:lang w:eastAsia="ko-KR"/>
              </w:rPr>
              <w:t>the study outcome</w:t>
            </w:r>
          </w:p>
          <w:p w14:paraId="40381F20" w14:textId="77777777" w:rsidR="00071407" w:rsidRDefault="00071407" w:rsidP="00071407">
            <w:pPr>
              <w:numPr>
                <w:ilvl w:val="1"/>
                <w:numId w:val="17"/>
              </w:numPr>
              <w:overflowPunct w:val="0"/>
              <w:autoSpaceDE w:val="0"/>
              <w:autoSpaceDN w:val="0"/>
              <w:adjustRightInd w:val="0"/>
              <w:jc w:val="both"/>
              <w:textAlignment w:val="baseline"/>
              <w:rPr>
                <w:lang w:eastAsia="ko-KR"/>
              </w:rPr>
            </w:pPr>
            <w:r>
              <w:rPr>
                <w:lang w:eastAsia="ko-KR"/>
              </w:rPr>
              <w:t>Mode 2</w:t>
            </w:r>
          </w:p>
          <w:p w14:paraId="440EDEF3" w14:textId="77777777" w:rsidR="00071407" w:rsidRPr="007720DE" w:rsidRDefault="00071407" w:rsidP="00071407">
            <w:pPr>
              <w:numPr>
                <w:ilvl w:val="2"/>
                <w:numId w:val="17"/>
              </w:numPr>
              <w:overflowPunct w:val="0"/>
              <w:autoSpaceDE w:val="0"/>
              <w:autoSpaceDN w:val="0"/>
              <w:adjustRightInd w:val="0"/>
              <w:jc w:val="both"/>
              <w:textAlignment w:val="baseline"/>
              <w:rPr>
                <w:lang w:eastAsia="ko-KR"/>
              </w:rPr>
            </w:pPr>
            <w:r w:rsidRPr="007720DE">
              <w:rPr>
                <w:lang w:eastAsia="ko-KR"/>
              </w:rPr>
              <w:t>Sensing and resource selection procedures based on sidelink pre-configuration and configuration by NR Uu and LTE Uu as per the study outcome</w:t>
            </w:r>
          </w:p>
          <w:p w14:paraId="098BDF55" w14:textId="77777777" w:rsidR="00071407" w:rsidRPr="0094364F" w:rsidRDefault="00071407" w:rsidP="00071407">
            <w:pPr>
              <w:numPr>
                <w:ilvl w:val="1"/>
                <w:numId w:val="17"/>
              </w:numPr>
              <w:overflowPunct w:val="0"/>
              <w:autoSpaceDE w:val="0"/>
              <w:autoSpaceDN w:val="0"/>
              <w:adjustRightInd w:val="0"/>
              <w:jc w:val="both"/>
              <w:textAlignment w:val="baseline"/>
              <w:rPr>
                <w:highlight w:val="yellow"/>
                <w:lang w:eastAsia="ko-KR"/>
              </w:rPr>
            </w:pPr>
            <w:r w:rsidRPr="0094364F">
              <w:rPr>
                <w:highlight w:val="yellow"/>
                <w:lang w:eastAsia="ko-KR"/>
              </w:rPr>
              <w:t>Support for simultaneous configuration of Mode 1 and Mode 2 for a UE</w:t>
            </w:r>
          </w:p>
          <w:p w14:paraId="56036531" w14:textId="77777777" w:rsidR="00071407" w:rsidRPr="0094364F" w:rsidRDefault="00071407" w:rsidP="00071407">
            <w:pPr>
              <w:numPr>
                <w:ilvl w:val="2"/>
                <w:numId w:val="17"/>
              </w:numPr>
              <w:overflowPunct w:val="0"/>
              <w:autoSpaceDE w:val="0"/>
              <w:autoSpaceDN w:val="0"/>
              <w:adjustRightInd w:val="0"/>
              <w:jc w:val="both"/>
              <w:textAlignment w:val="baseline"/>
              <w:rPr>
                <w:highlight w:val="yellow"/>
                <w:lang w:eastAsia="ko-KR"/>
              </w:rPr>
            </w:pPr>
            <w:r w:rsidRPr="0094364F">
              <w:rPr>
                <w:rFonts w:hint="eastAsia"/>
                <w:highlight w:val="yellow"/>
                <w:lang w:eastAsia="ko-KR"/>
              </w:rPr>
              <w:t>Transmitter</w:t>
            </w:r>
            <w:r w:rsidRPr="0094364F">
              <w:rPr>
                <w:highlight w:val="yellow"/>
                <w:lang w:eastAsia="ko-KR"/>
              </w:rPr>
              <w:t xml:space="preserve"> UE</w:t>
            </w:r>
            <w:r w:rsidRPr="0094364F">
              <w:rPr>
                <w:rFonts w:hint="eastAsia"/>
                <w:highlight w:val="yellow"/>
                <w:lang w:eastAsia="ko-KR"/>
              </w:rPr>
              <w:t xml:space="preserve"> operation in this configuration </w:t>
            </w:r>
            <w:r w:rsidRPr="0094364F">
              <w:rPr>
                <w:highlight w:val="yellow"/>
                <w:lang w:eastAsia="ko-KR"/>
              </w:rPr>
              <w:t>is to be discussed after the design of mode 1 only and mode 2 only.</w:t>
            </w:r>
          </w:p>
          <w:p w14:paraId="5B4DF42C" w14:textId="77777777" w:rsidR="00071407" w:rsidRPr="0094364F" w:rsidRDefault="00071407" w:rsidP="00071407">
            <w:pPr>
              <w:numPr>
                <w:ilvl w:val="2"/>
                <w:numId w:val="17"/>
              </w:numPr>
              <w:overflowPunct w:val="0"/>
              <w:autoSpaceDE w:val="0"/>
              <w:autoSpaceDN w:val="0"/>
              <w:adjustRightInd w:val="0"/>
              <w:jc w:val="both"/>
              <w:textAlignment w:val="baseline"/>
              <w:rPr>
                <w:highlight w:val="yellow"/>
                <w:lang w:eastAsia="ko-KR"/>
              </w:rPr>
            </w:pPr>
            <w:r w:rsidRPr="0094364F">
              <w:rPr>
                <w:highlight w:val="yellow"/>
                <w:lang w:eastAsia="ko-KR"/>
              </w:rPr>
              <w:t xml:space="preserve">Receiver UE can receive the transmissions without knowing the resource allocation mode used by the transmitter UE. </w:t>
            </w:r>
          </w:p>
          <w:p w14:paraId="589D20FD" w14:textId="77777777" w:rsidR="00071407" w:rsidRPr="0094364F" w:rsidRDefault="00071407" w:rsidP="00071407">
            <w:pPr>
              <w:numPr>
                <w:ilvl w:val="1"/>
                <w:numId w:val="17"/>
              </w:numPr>
              <w:overflowPunct w:val="0"/>
              <w:autoSpaceDE w:val="0"/>
              <w:autoSpaceDN w:val="0"/>
              <w:adjustRightInd w:val="0"/>
              <w:jc w:val="both"/>
              <w:textAlignment w:val="baseline"/>
              <w:rPr>
                <w:lang w:eastAsia="ko-KR"/>
              </w:rPr>
            </w:pPr>
            <w:r w:rsidRPr="007720DE">
              <w:rPr>
                <w:lang w:eastAsia="ko-KR"/>
              </w:rPr>
              <w:t>UE relaying resource pool configuration or resource configuration is not supported in this work in Rel-16.</w:t>
            </w:r>
          </w:p>
        </w:tc>
      </w:tr>
    </w:tbl>
    <w:p w14:paraId="78B0183F" w14:textId="77777777" w:rsidR="00071407" w:rsidRDefault="00071407" w:rsidP="00071407"/>
    <w:p w14:paraId="169F2EF0" w14:textId="1FE960B6" w:rsidR="00071407" w:rsidRDefault="00071407" w:rsidP="00071407">
      <w:pPr>
        <w:jc w:val="both"/>
      </w:pPr>
      <w:r>
        <w:t>However, due to the limited time resources in Release 16, the support for simultaneous mode 1 and mode 2 was restricted to the scenario where a UE may only use different modes for different SL radio technologies only</w:t>
      </w:r>
      <w:r w:rsidR="00F26A11">
        <w:t>, and the</w:t>
      </w:r>
      <w:r w:rsidR="00B448B8">
        <w:t xml:space="preserve"> support for simu</w:t>
      </w:r>
      <w:r w:rsidR="00561F47">
        <w:t>ltaneous mode 1 and mode 2</w:t>
      </w:r>
      <w:r w:rsidR="00F26A11">
        <w:t xml:space="preserve"> has been </w:t>
      </w:r>
      <w:r w:rsidR="00561F47">
        <w:t>remov</w:t>
      </w:r>
      <w:r w:rsidR="00F26A11">
        <w:t xml:space="preserve">ed </w:t>
      </w:r>
      <w:r w:rsidR="00561F47">
        <w:t xml:space="preserve">from the new WID [2], </w:t>
      </w:r>
      <w:r w:rsidR="00F26A11">
        <w:t>accordingly</w:t>
      </w:r>
      <w:r>
        <w:t xml:space="preserve">. </w:t>
      </w:r>
      <w:r w:rsidR="00AB459F">
        <w:t>Thus</w:t>
      </w:r>
      <w:r>
        <w:t>,</w:t>
      </w:r>
      <w:r w:rsidR="00AB459F">
        <w:t xml:space="preserve"> in release 16,</w:t>
      </w:r>
      <w:r>
        <w:t xml:space="preserve"> a SL UE </w:t>
      </w:r>
      <w:r>
        <w:lastRenderedPageBreak/>
        <w:t xml:space="preserve">can operate in mode 1 for one RAT (e.g. either NR SL or LTE SL), while mode 2 for the other RAT (e.g. LTE SL or NR SL, respectively). In this approach, if a release 16 SL UE camps on a cell that can only support one SL RAT, it can use mode 2 for transmitting in another SL RAT. </w:t>
      </w:r>
      <w:r w:rsidR="00AB459F">
        <w:t>So</w:t>
      </w:r>
      <w:r>
        <w:t>, the support for simultaneous mode 1 and mode 2 in release 16 was very limited, and we think simultaneous mode 1 and mode 2 can be applied in other scenarios as well, in order to improve the SL performance.</w:t>
      </w:r>
    </w:p>
    <w:p w14:paraId="73D85F03" w14:textId="77777777" w:rsidR="00071407" w:rsidRPr="00596E36" w:rsidRDefault="00071407" w:rsidP="00071407">
      <w:r>
        <w:t>For example, NR SL is supposed to support advanced V2X scenarios described in [</w:t>
      </w:r>
      <w:hyperlink r:id="rId12" w:history="1">
        <w:r w:rsidRPr="0084031F">
          <w:rPr>
            <w:rStyle w:val="Hyperlink"/>
          </w:rPr>
          <w:t>TR22.886</w:t>
        </w:r>
      </w:hyperlink>
      <w:r>
        <w:t xml:space="preserve">], </w:t>
      </w:r>
      <w:r w:rsidRPr="00EE4B5E">
        <w:t>w</w:t>
      </w:r>
      <w:r>
        <w:t>here the QoS requirements of the different SL QoS flows can be quite divergent w.r.t. latency and reliability. Thus, it is important to apply the proper mode to meet the QoS requirements of each QoS flow. For instance, NR SL mode 1 may provide higher reliability than NR SL mode 2, since network can control non colliding SL resource allocation in mode 1. On the other hand, NR SL mode 2 may provide lower latency as there is no signalling exchange between the UE and network for resource request and resource allocation. Therefore, if multiple QoS flows with divergent QoS requirements co-exist in a NR SL UE, simultaneous mode 1 and mode 2 can be used where different QoS flows are mapped to different resource allocate modes based on their QoS requirements.</w:t>
      </w:r>
    </w:p>
    <w:p w14:paraId="4EC1EE46" w14:textId="7EB2F392" w:rsidR="00071407" w:rsidRDefault="00071407" w:rsidP="00071407">
      <w:pPr>
        <w:jc w:val="both"/>
        <w:rPr>
          <w:b/>
          <w:bCs/>
        </w:rPr>
      </w:pPr>
      <w:r w:rsidRPr="00D53F80">
        <w:rPr>
          <w:b/>
          <w:bCs/>
        </w:rPr>
        <w:t xml:space="preserve">Proposal </w:t>
      </w:r>
      <w:r>
        <w:rPr>
          <w:b/>
          <w:bCs/>
        </w:rPr>
        <w:t>1</w:t>
      </w:r>
      <w:r w:rsidRPr="00D53F80">
        <w:rPr>
          <w:b/>
          <w:bCs/>
        </w:rPr>
        <w:t>: RAN2 is suggested to consider supporting simultaneous mode 1 and mode 2 in release 17</w:t>
      </w:r>
      <w:r>
        <w:rPr>
          <w:b/>
          <w:bCs/>
        </w:rPr>
        <w:t>, where different QoS flows can be mapped to different resource allocation modes</w:t>
      </w:r>
      <w:r w:rsidRPr="00D53F80">
        <w:rPr>
          <w:b/>
          <w:bCs/>
        </w:rPr>
        <w:t>.</w:t>
      </w:r>
    </w:p>
    <w:p w14:paraId="23D9D3D5" w14:textId="7410EBF9" w:rsidR="00071407" w:rsidRPr="00D53F80" w:rsidRDefault="005F08A3" w:rsidP="00E72091">
      <w:pPr>
        <w:pStyle w:val="Heading2"/>
      </w:pPr>
      <w:r>
        <w:t xml:space="preserve">2.2 Logical channel </w:t>
      </w:r>
      <w:r w:rsidR="00E72091">
        <w:t>prioritization for SL groupcast</w:t>
      </w:r>
    </w:p>
    <w:p w14:paraId="621253D2" w14:textId="04BB51EF" w:rsidR="0020039C" w:rsidRDefault="00552503" w:rsidP="00801988">
      <w:r>
        <w:t>For SL groupcast</w:t>
      </w:r>
      <w:r w:rsidR="00715055">
        <w:t xml:space="preserve"> in release 16</w:t>
      </w:r>
      <w:r w:rsidR="002E5FDF">
        <w:t xml:space="preserve">, RAN2 </w:t>
      </w:r>
      <w:r w:rsidR="00642CAA">
        <w:t xml:space="preserve">discussed </w:t>
      </w:r>
      <w:r w:rsidR="00C727B3">
        <w:t xml:space="preserve">how to perform </w:t>
      </w:r>
      <w:r w:rsidR="00715055">
        <w:t xml:space="preserve">the </w:t>
      </w:r>
      <w:r w:rsidR="00C727B3">
        <w:t xml:space="preserve">LCP procedure for SL groupcast. </w:t>
      </w:r>
      <w:r w:rsidR="006576D1">
        <w:t xml:space="preserve">RAN2 </w:t>
      </w:r>
      <w:r w:rsidR="002E5FDF">
        <w:t>agree</w:t>
      </w:r>
      <w:r w:rsidR="009D486E">
        <w:t>d</w:t>
      </w:r>
      <w:r w:rsidR="002E5FDF">
        <w:t xml:space="preserve"> </w:t>
      </w:r>
      <w:r w:rsidR="0020039C">
        <w:t>that the</w:t>
      </w:r>
      <w:r w:rsidR="006A3626">
        <w:t xml:space="preserve"> data from different SL</w:t>
      </w:r>
      <w:r w:rsidR="006576D1">
        <w:t xml:space="preserve"> groupcast</w:t>
      </w:r>
      <w:r w:rsidR="006A3626">
        <w:t xml:space="preserve"> LCHs</w:t>
      </w:r>
      <w:r>
        <w:t xml:space="preserve"> with </w:t>
      </w:r>
      <w:r w:rsidR="00FA7D44">
        <w:t xml:space="preserve">divergent </w:t>
      </w:r>
      <w:r w:rsidR="008F2D1A">
        <w:t>MCR</w:t>
      </w:r>
      <w:r>
        <w:t xml:space="preserve"> requirements</w:t>
      </w:r>
      <w:r w:rsidR="0020039C">
        <w:t xml:space="preserve"> can be multiplexed together</w:t>
      </w:r>
      <w:r w:rsidR="00DE6855">
        <w:t xml:space="preserve"> into the same transport block</w:t>
      </w:r>
      <w:r>
        <w:t>, as:</w:t>
      </w:r>
    </w:p>
    <w:tbl>
      <w:tblPr>
        <w:tblStyle w:val="TableGrid"/>
        <w:tblW w:w="0" w:type="auto"/>
        <w:tblLook w:val="04A0" w:firstRow="1" w:lastRow="0" w:firstColumn="1" w:lastColumn="0" w:noHBand="0" w:noVBand="1"/>
      </w:tblPr>
      <w:tblGrid>
        <w:gridCol w:w="9631"/>
      </w:tblGrid>
      <w:tr w:rsidR="0020039C" w14:paraId="795BFCB1" w14:textId="77777777" w:rsidTr="0020039C">
        <w:tc>
          <w:tcPr>
            <w:tcW w:w="9631" w:type="dxa"/>
          </w:tcPr>
          <w:p w14:paraId="2561FCA2" w14:textId="77777777" w:rsidR="0020039C" w:rsidRDefault="0020039C" w:rsidP="0020039C">
            <w:pPr>
              <w:spacing w:before="60"/>
              <w:rPr>
                <w:noProof/>
              </w:rPr>
            </w:pPr>
            <w:r>
              <w:rPr>
                <w:noProof/>
              </w:rPr>
              <w:t>Voting results:</w:t>
            </w:r>
          </w:p>
          <w:p w14:paraId="3B25916B" w14:textId="77777777" w:rsidR="0020039C" w:rsidRDefault="0020039C" w:rsidP="0020039C">
            <w:pPr>
              <w:pStyle w:val="ListParagraph"/>
              <w:numPr>
                <w:ilvl w:val="0"/>
                <w:numId w:val="18"/>
              </w:numPr>
              <w:spacing w:before="60" w:after="0"/>
              <w:rPr>
                <w:noProof/>
              </w:rPr>
            </w:pPr>
            <w:r>
              <w:rPr>
                <w:noProof/>
              </w:rPr>
              <w:t>Option1: No consideration of MCR in MAC multiplexing (votes: 8)</w:t>
            </w:r>
          </w:p>
          <w:p w14:paraId="2B48830C" w14:textId="77777777" w:rsidR="0020039C" w:rsidRDefault="0020039C" w:rsidP="0020039C">
            <w:pPr>
              <w:pStyle w:val="ListParagraph"/>
              <w:numPr>
                <w:ilvl w:val="0"/>
                <w:numId w:val="18"/>
              </w:numPr>
              <w:spacing w:after="0"/>
              <w:jc w:val="both"/>
            </w:pPr>
            <w:r>
              <w:rPr>
                <w:noProof/>
              </w:rPr>
              <w:t>Option2: Introduction of MCR consideration in MAC multiplexing (votes: 10)</w:t>
            </w:r>
          </w:p>
          <w:p w14:paraId="17D840A6" w14:textId="77777777" w:rsidR="0020039C" w:rsidRDefault="0020039C" w:rsidP="0020039C">
            <w:pPr>
              <w:ind w:left="1319"/>
              <w:jc w:val="both"/>
            </w:pPr>
          </w:p>
          <w:p w14:paraId="6BE989E5" w14:textId="51447D4F" w:rsidR="0020039C" w:rsidRDefault="0020039C" w:rsidP="00801988">
            <w:r w:rsidRPr="00472A6D">
              <w:rPr>
                <w:b/>
                <w:highlight w:val="yellow"/>
              </w:rPr>
              <w:t>Agreement</w:t>
            </w:r>
            <w:r w:rsidRPr="00472A6D">
              <w:rPr>
                <w:highlight w:val="yellow"/>
              </w:rPr>
              <w:t xml:space="preserve">: </w:t>
            </w:r>
            <w:r w:rsidRPr="00472A6D">
              <w:rPr>
                <w:noProof/>
                <w:highlight w:val="yellow"/>
              </w:rPr>
              <w:t>MAC multiplexing and TB generation is done transparently to MCR and for a given destination, highest corresponding MCR is indicated to L1.</w:t>
            </w:r>
          </w:p>
        </w:tc>
      </w:tr>
    </w:tbl>
    <w:p w14:paraId="55CD18D3" w14:textId="77777777" w:rsidR="00B60C23" w:rsidRDefault="00B60C23" w:rsidP="00801988"/>
    <w:p w14:paraId="4187672A" w14:textId="5987A646" w:rsidR="00050994" w:rsidRDefault="00B60C23" w:rsidP="00801988">
      <w:r>
        <w:t xml:space="preserve">Thus, </w:t>
      </w:r>
      <w:r w:rsidR="0041127A">
        <w:t xml:space="preserve">as seen from </w:t>
      </w:r>
      <w:r w:rsidR="005C397F">
        <w:t xml:space="preserve">the </w:t>
      </w:r>
      <w:r w:rsidR="00DE6855">
        <w:t>highlighted</w:t>
      </w:r>
      <w:r w:rsidR="005C397F">
        <w:t xml:space="preserve"> agreement</w:t>
      </w:r>
      <w:r w:rsidR="009403C6">
        <w:t xml:space="preserve">, </w:t>
      </w:r>
      <w:r w:rsidR="0041127A">
        <w:t>the MAC</w:t>
      </w:r>
      <w:r w:rsidR="005C397F">
        <w:t xml:space="preserve"> layer</w:t>
      </w:r>
      <w:r w:rsidR="0041127A">
        <w:t xml:space="preserve"> multiplexing is done irrespectively of the MCR</w:t>
      </w:r>
      <w:r w:rsidR="00366C0D">
        <w:t xml:space="preserve"> of SL LCH</w:t>
      </w:r>
      <w:r w:rsidR="004D5B74">
        <w:t xml:space="preserve">, and only the </w:t>
      </w:r>
      <w:r w:rsidR="00366C0D">
        <w:t>maximal MCR value is indicated to L1</w:t>
      </w:r>
      <w:r w:rsidR="00093910">
        <w:t xml:space="preserve"> in case SL groupcast HARQ option 1 is used. </w:t>
      </w:r>
      <w:r w:rsidR="00BE2CA6">
        <w:t>Afterwards</w:t>
      </w:r>
      <w:r w:rsidR="00093910">
        <w:t>, the indicated MCR value can</w:t>
      </w:r>
      <w:r w:rsidR="00673922">
        <w:t xml:space="preserve"> be used </w:t>
      </w:r>
      <w:r w:rsidR="007A64C5">
        <w:t xml:space="preserve">by physical layer </w:t>
      </w:r>
      <w:r w:rsidR="00673922">
        <w:t xml:space="preserve">to set the </w:t>
      </w:r>
      <w:r w:rsidR="008F2D1A">
        <w:t xml:space="preserve">range parameter </w:t>
      </w:r>
      <w:r w:rsidR="007A64C5">
        <w:t>in the</w:t>
      </w:r>
      <w:r w:rsidR="00BE2CA6">
        <w:t xml:space="preserve"> associated</w:t>
      </w:r>
      <w:r w:rsidR="007A64C5">
        <w:t xml:space="preserve"> </w:t>
      </w:r>
      <w:r w:rsidR="00BE2CA6">
        <w:t>2nd</w:t>
      </w:r>
      <w:r w:rsidR="007A64C5">
        <w:t xml:space="preserve"> stage SCI</w:t>
      </w:r>
      <w:r w:rsidR="00093910">
        <w:t>, accordingly</w:t>
      </w:r>
      <w:r w:rsidR="004D5B74">
        <w:t>.</w:t>
      </w:r>
      <w:r w:rsidR="00366C0D">
        <w:t xml:space="preserve"> </w:t>
      </w:r>
      <w:r w:rsidR="004D5B74">
        <w:t>H</w:t>
      </w:r>
      <w:r w:rsidR="0041127A">
        <w:t>owever, it is also seen that the voting indicates that half of the companies think there is problem(s) to apply this agreement without further enhancement(s).</w:t>
      </w:r>
    </w:p>
    <w:p w14:paraId="71FB5DAF" w14:textId="77777777" w:rsidR="006B378A" w:rsidRDefault="009E2F4C" w:rsidP="006B378A">
      <w:pPr>
        <w:keepNext/>
        <w:jc w:val="center"/>
      </w:pPr>
      <w:r>
        <w:rPr>
          <w:noProof/>
          <w:szCs w:val="22"/>
        </w:rPr>
        <w:drawing>
          <wp:inline distT="0" distB="0" distL="0" distR="0" wp14:anchorId="3A37D4E2" wp14:editId="0AEEC6F5">
            <wp:extent cx="3696100" cy="214855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5498" cy="2154022"/>
                    </a:xfrm>
                    <a:prstGeom prst="rect">
                      <a:avLst/>
                    </a:prstGeom>
                    <a:noFill/>
                    <a:ln>
                      <a:noFill/>
                    </a:ln>
                  </pic:spPr>
                </pic:pic>
              </a:graphicData>
            </a:graphic>
          </wp:inline>
        </w:drawing>
      </w:r>
    </w:p>
    <w:p w14:paraId="6AA7BAF7" w14:textId="025E77F2" w:rsidR="002219B9" w:rsidRDefault="006B378A" w:rsidP="006B378A">
      <w:pPr>
        <w:pStyle w:val="Caption"/>
        <w:jc w:val="center"/>
      </w:pPr>
      <w:r>
        <w:t xml:space="preserve">Figure </w:t>
      </w:r>
      <w:r w:rsidR="00CB3686">
        <w:fldChar w:fldCharType="begin"/>
      </w:r>
      <w:r w:rsidR="00CB3686">
        <w:instrText xml:space="preserve"> SEQ Figure \* ARABIC </w:instrText>
      </w:r>
      <w:r w:rsidR="00CB3686">
        <w:fldChar w:fldCharType="separate"/>
      </w:r>
      <w:r>
        <w:rPr>
          <w:noProof/>
        </w:rPr>
        <w:t>1</w:t>
      </w:r>
      <w:r w:rsidR="00CB3686">
        <w:rPr>
          <w:noProof/>
        </w:rPr>
        <w:fldChar w:fldCharType="end"/>
      </w:r>
      <w:r w:rsidRPr="005316D0">
        <w:t xml:space="preserve">: SL RX 3 does not receive the TB successfully, and it sends NACK </w:t>
      </w:r>
      <w:r w:rsidR="000838E8">
        <w:t>over PSFCH</w:t>
      </w:r>
    </w:p>
    <w:p w14:paraId="0DEA801C" w14:textId="77EDF4FF" w:rsidR="004D5EDD" w:rsidRDefault="004D5EDD" w:rsidP="00B76561">
      <w:pPr>
        <w:ind w:left="360"/>
        <w:jc w:val="both"/>
      </w:pPr>
      <w:r>
        <w:t xml:space="preserve">In one example, </w:t>
      </w:r>
      <w:r w:rsidR="0006134C">
        <w:t xml:space="preserve">let us </w:t>
      </w:r>
      <w:r w:rsidR="002219B9">
        <w:t>consider the scenario shown in Figure 1</w:t>
      </w:r>
      <w:r w:rsidR="00185F09">
        <w:t xml:space="preserve">, </w:t>
      </w:r>
      <w:r w:rsidR="007063AC">
        <w:rPr>
          <w:rFonts w:cs="Arial"/>
          <w:szCs w:val="22"/>
        </w:rPr>
        <w:t>where</w:t>
      </w:r>
      <w:r w:rsidR="007063AC" w:rsidRPr="00F44D83">
        <w:rPr>
          <w:rFonts w:cs="Arial"/>
          <w:szCs w:val="22"/>
        </w:rPr>
        <w:t xml:space="preserve"> the MAC layer at the SL TX multiplexes the data from three different SL LCHs, whose MCR requirements are</w:t>
      </w:r>
      <w:r w:rsidR="007063AC" w:rsidRPr="00F44D83">
        <w:rPr>
          <w:rFonts w:cs="Arial"/>
          <w:i/>
          <w:szCs w:val="22"/>
        </w:rPr>
        <w:t xml:space="preserve"> R1 &lt; R2 &lt; R3</w:t>
      </w:r>
      <w:r w:rsidR="007063AC">
        <w:rPr>
          <w:rFonts w:cs="Arial"/>
          <w:i/>
          <w:szCs w:val="22"/>
        </w:rPr>
        <w:t xml:space="preserve"> </w:t>
      </w:r>
      <w:r w:rsidR="007063AC" w:rsidRPr="00472A6D">
        <w:rPr>
          <w:rFonts w:cs="Arial"/>
          <w:szCs w:val="22"/>
          <w:lang w:val="en-US" w:eastAsia="zh-CN"/>
        </w:rPr>
        <w:t>(</w:t>
      </w:r>
      <w:r w:rsidR="007063AC">
        <w:rPr>
          <w:rFonts w:cs="Arial"/>
          <w:szCs w:val="22"/>
          <w:lang w:val="en-US" w:eastAsia="zh-CN"/>
        </w:rPr>
        <w:t>e.</w:t>
      </w:r>
      <w:r w:rsidR="0006134C">
        <w:rPr>
          <w:rFonts w:cs="Arial"/>
          <w:szCs w:val="22"/>
          <w:lang w:val="en-US" w:eastAsia="zh-CN"/>
        </w:rPr>
        <w:t>g.</w:t>
      </w:r>
      <w:r w:rsidR="007063AC">
        <w:rPr>
          <w:rFonts w:cs="Arial"/>
          <w:szCs w:val="22"/>
          <w:lang w:val="en-US" w:eastAsia="zh-CN"/>
        </w:rPr>
        <w:t xml:space="preserve"> shown in Figure 1</w:t>
      </w:r>
      <w:r w:rsidR="007063AC" w:rsidRPr="00472A6D">
        <w:rPr>
          <w:rFonts w:cs="Arial"/>
          <w:szCs w:val="22"/>
          <w:lang w:val="en-US" w:eastAsia="zh-CN"/>
        </w:rPr>
        <w:t>)</w:t>
      </w:r>
      <w:r w:rsidR="007063AC" w:rsidRPr="00F44D83">
        <w:rPr>
          <w:rFonts w:cs="Arial"/>
          <w:i/>
          <w:szCs w:val="22"/>
        </w:rPr>
        <w:t xml:space="preserve">. </w:t>
      </w:r>
      <w:r w:rsidR="0006134C">
        <w:rPr>
          <w:rFonts w:cs="Arial"/>
          <w:szCs w:val="22"/>
        </w:rPr>
        <w:t>In this scenario</w:t>
      </w:r>
      <w:r w:rsidR="007063AC" w:rsidRPr="00F44D83">
        <w:rPr>
          <w:rFonts w:cs="Arial"/>
          <w:szCs w:val="22"/>
        </w:rPr>
        <w:t xml:space="preserve">, comparing to </w:t>
      </w:r>
      <w:r w:rsidR="0006134C">
        <w:rPr>
          <w:rFonts w:cs="Arial"/>
          <w:szCs w:val="22"/>
        </w:rPr>
        <w:t>other</w:t>
      </w:r>
      <w:r w:rsidR="007063AC" w:rsidRPr="00F44D83">
        <w:rPr>
          <w:rFonts w:cs="Arial"/>
          <w:szCs w:val="22"/>
        </w:rPr>
        <w:t xml:space="preserve"> RXs</w:t>
      </w:r>
      <w:r w:rsidR="00106173">
        <w:rPr>
          <w:rFonts w:cs="Arial"/>
          <w:szCs w:val="22"/>
        </w:rPr>
        <w:t xml:space="preserve"> (e.g. SL RXs 1, 2, 4, 5, and 6)</w:t>
      </w:r>
      <w:r w:rsidR="007063AC" w:rsidRPr="00F44D83">
        <w:rPr>
          <w:rFonts w:cs="Arial"/>
          <w:szCs w:val="22"/>
        </w:rPr>
        <w:t xml:space="preserve"> located near the SL TX, the RX with </w:t>
      </w:r>
      <w:r w:rsidR="0006134C">
        <w:rPr>
          <w:rFonts w:cs="Arial"/>
          <w:szCs w:val="22"/>
        </w:rPr>
        <w:t>the</w:t>
      </w:r>
      <w:r w:rsidR="007063AC" w:rsidRPr="00F44D83">
        <w:rPr>
          <w:rFonts w:cs="Arial"/>
          <w:szCs w:val="22"/>
        </w:rPr>
        <w:t xml:space="preserve"> large</w:t>
      </w:r>
      <w:r w:rsidR="007063AC">
        <w:rPr>
          <w:rFonts w:cs="Arial"/>
          <w:szCs w:val="22"/>
        </w:rPr>
        <w:t>st</w:t>
      </w:r>
      <w:r w:rsidR="007063AC" w:rsidRPr="00F44D83">
        <w:rPr>
          <w:rFonts w:cs="Arial"/>
          <w:szCs w:val="22"/>
        </w:rPr>
        <w:t xml:space="preserve"> distance from the SL TX (e.</w:t>
      </w:r>
      <w:r w:rsidR="007063AC">
        <w:rPr>
          <w:rFonts w:cs="Arial"/>
          <w:szCs w:val="22"/>
        </w:rPr>
        <w:t>g.</w:t>
      </w:r>
      <w:r w:rsidR="007063AC" w:rsidRPr="00F44D83">
        <w:rPr>
          <w:rFonts w:cs="Arial"/>
          <w:szCs w:val="22"/>
        </w:rPr>
        <w:t xml:space="preserve"> SL RX 3 in Figure 2)</w:t>
      </w:r>
      <w:r w:rsidR="007063AC">
        <w:rPr>
          <w:rFonts w:cs="Arial"/>
          <w:szCs w:val="22"/>
        </w:rPr>
        <w:t xml:space="preserve"> </w:t>
      </w:r>
      <w:r w:rsidR="007063AC" w:rsidRPr="00F44D83">
        <w:rPr>
          <w:rFonts w:cs="Arial"/>
          <w:szCs w:val="22"/>
        </w:rPr>
        <w:t xml:space="preserve">will </w:t>
      </w:r>
      <w:r w:rsidR="007063AC">
        <w:rPr>
          <w:rFonts w:cs="Arial"/>
          <w:szCs w:val="22"/>
        </w:rPr>
        <w:t>have a higher probability to</w:t>
      </w:r>
      <w:r w:rsidR="007063AC" w:rsidRPr="00F44D83">
        <w:rPr>
          <w:rFonts w:cs="Arial"/>
          <w:szCs w:val="22"/>
        </w:rPr>
        <w:t xml:space="preserve"> fail </w:t>
      </w:r>
      <w:r w:rsidR="00106173">
        <w:rPr>
          <w:rFonts w:cs="Arial"/>
          <w:szCs w:val="22"/>
        </w:rPr>
        <w:t xml:space="preserve">in decoding </w:t>
      </w:r>
      <w:r w:rsidR="007063AC" w:rsidRPr="00F44D83">
        <w:rPr>
          <w:rFonts w:cs="Arial"/>
          <w:szCs w:val="22"/>
        </w:rPr>
        <w:t xml:space="preserve">the </w:t>
      </w:r>
      <w:r w:rsidR="007063AC">
        <w:rPr>
          <w:rFonts w:cs="Arial"/>
          <w:szCs w:val="22"/>
        </w:rPr>
        <w:t>data</w:t>
      </w:r>
      <w:r w:rsidR="00106173">
        <w:rPr>
          <w:rFonts w:cs="Arial"/>
          <w:szCs w:val="22"/>
        </w:rPr>
        <w:t xml:space="preserve"> payload</w:t>
      </w:r>
      <w:r w:rsidR="007063AC" w:rsidRPr="00F44D83">
        <w:rPr>
          <w:rFonts w:cs="Arial"/>
          <w:szCs w:val="22"/>
        </w:rPr>
        <w:t xml:space="preserve">. </w:t>
      </w:r>
      <w:r w:rsidR="007063AC" w:rsidRPr="00F44D83">
        <w:rPr>
          <w:rFonts w:cs="Arial"/>
          <w:szCs w:val="22"/>
        </w:rPr>
        <w:lastRenderedPageBreak/>
        <w:t>Therefore, if HARQ feedback option 1 is used</w:t>
      </w:r>
      <w:r w:rsidR="007063AC">
        <w:rPr>
          <w:rFonts w:cs="Arial"/>
          <w:szCs w:val="22"/>
        </w:rPr>
        <w:t xml:space="preserve"> (i.e., only NACK </w:t>
      </w:r>
      <w:r w:rsidR="00B96F63">
        <w:rPr>
          <w:rFonts w:cs="Arial"/>
          <w:szCs w:val="22"/>
        </w:rPr>
        <w:t>should</w:t>
      </w:r>
      <w:r w:rsidR="007063AC">
        <w:rPr>
          <w:rFonts w:cs="Arial"/>
          <w:szCs w:val="22"/>
        </w:rPr>
        <w:t xml:space="preserve"> be sent from Rx to Tx)</w:t>
      </w:r>
      <w:r w:rsidR="007063AC" w:rsidRPr="00F44D83">
        <w:rPr>
          <w:rFonts w:cs="Arial"/>
          <w:szCs w:val="22"/>
        </w:rPr>
        <w:t>, SL RX 3 send</w:t>
      </w:r>
      <w:r w:rsidR="00B96F63">
        <w:rPr>
          <w:rFonts w:cs="Arial"/>
          <w:szCs w:val="22"/>
        </w:rPr>
        <w:t>s</w:t>
      </w:r>
      <w:r w:rsidR="007063AC" w:rsidRPr="00F44D83">
        <w:rPr>
          <w:rFonts w:cs="Arial"/>
          <w:szCs w:val="22"/>
        </w:rPr>
        <w:t xml:space="preserve"> a</w:t>
      </w:r>
      <w:r w:rsidR="00B96F63">
        <w:rPr>
          <w:rFonts w:cs="Arial"/>
          <w:szCs w:val="22"/>
        </w:rPr>
        <w:t>n</w:t>
      </w:r>
      <w:r w:rsidR="007063AC" w:rsidRPr="00F44D83">
        <w:rPr>
          <w:rFonts w:cs="Arial"/>
          <w:szCs w:val="22"/>
        </w:rPr>
        <w:t xml:space="preserve"> NACK signal back to the SL TX</w:t>
      </w:r>
      <w:r w:rsidR="007063AC">
        <w:rPr>
          <w:rFonts w:cs="Arial"/>
          <w:szCs w:val="22"/>
        </w:rPr>
        <w:t xml:space="preserve"> in case it fails to decode the </w:t>
      </w:r>
      <w:r w:rsidR="00B96F63">
        <w:rPr>
          <w:rFonts w:cs="Arial"/>
          <w:szCs w:val="22"/>
        </w:rPr>
        <w:t>data payload</w:t>
      </w:r>
      <w:r w:rsidR="007063AC" w:rsidRPr="00F44D83">
        <w:rPr>
          <w:rFonts w:cs="Arial"/>
          <w:szCs w:val="22"/>
        </w:rPr>
        <w:t xml:space="preserve">. In this case, </w:t>
      </w:r>
      <w:r w:rsidR="00B76561" w:rsidRPr="00F44D83">
        <w:rPr>
          <w:rFonts w:cs="Arial"/>
          <w:szCs w:val="22"/>
        </w:rPr>
        <w:t>the SL TX will retransmit the</w:t>
      </w:r>
      <w:r w:rsidR="00B76561">
        <w:rPr>
          <w:rFonts w:cs="Arial"/>
          <w:szCs w:val="22"/>
        </w:rPr>
        <w:t xml:space="preserve"> same</w:t>
      </w:r>
      <w:r w:rsidR="00B76561" w:rsidRPr="00F44D83">
        <w:rPr>
          <w:rFonts w:cs="Arial"/>
          <w:szCs w:val="22"/>
        </w:rPr>
        <w:t xml:space="preserve"> packet</w:t>
      </w:r>
      <w:r w:rsidR="007219F9">
        <w:rPr>
          <w:rFonts w:cs="Arial"/>
          <w:szCs w:val="22"/>
        </w:rPr>
        <w:t xml:space="preserve"> as before</w:t>
      </w:r>
      <w:r w:rsidR="00B76561" w:rsidRPr="00F44D83">
        <w:rPr>
          <w:rFonts w:cs="Arial"/>
          <w:szCs w:val="22"/>
        </w:rPr>
        <w:t>. However, if th</w:t>
      </w:r>
      <w:r w:rsidR="00B76561">
        <w:rPr>
          <w:rFonts w:cs="Arial"/>
          <w:szCs w:val="22"/>
        </w:rPr>
        <w:t xml:space="preserve">at packet </w:t>
      </w:r>
      <w:r w:rsidR="00B76561" w:rsidRPr="00F44D83">
        <w:rPr>
          <w:rFonts w:cs="Arial"/>
          <w:szCs w:val="22"/>
        </w:rPr>
        <w:t>contains only a small portion of</w:t>
      </w:r>
      <w:r w:rsidR="00B76561">
        <w:rPr>
          <w:rFonts w:cs="Arial"/>
          <w:szCs w:val="22"/>
        </w:rPr>
        <w:t xml:space="preserve"> the</w:t>
      </w:r>
      <w:r w:rsidR="00B76561" w:rsidRPr="00F44D83">
        <w:rPr>
          <w:rFonts w:cs="Arial"/>
          <w:szCs w:val="22"/>
        </w:rPr>
        <w:t xml:space="preserve"> data from the SL LCH with the MCR value of </w:t>
      </w:r>
      <w:r w:rsidR="00B76561" w:rsidRPr="00F44D83">
        <w:rPr>
          <w:rFonts w:cs="Arial"/>
          <w:i/>
          <w:szCs w:val="22"/>
        </w:rPr>
        <w:t>R3</w:t>
      </w:r>
      <w:r w:rsidR="00B76561" w:rsidRPr="00F44D83">
        <w:rPr>
          <w:rFonts w:cs="Arial"/>
          <w:szCs w:val="22"/>
        </w:rPr>
        <w:t>, it is not efficient to retransmit the whole packet</w:t>
      </w:r>
      <w:r w:rsidR="00B76561">
        <w:rPr>
          <w:rFonts w:cs="Arial"/>
          <w:szCs w:val="22"/>
        </w:rPr>
        <w:t xml:space="preserve">, since </w:t>
      </w:r>
      <w:r w:rsidR="00B76561">
        <w:rPr>
          <w:rFonts w:cs="Arial"/>
        </w:rPr>
        <w:t xml:space="preserve">SL RX 3 is not required to successfully receive the data from the SL LCHs with MCR values of </w:t>
      </w:r>
      <w:r w:rsidR="00B76561">
        <w:rPr>
          <w:rFonts w:cs="Arial"/>
          <w:i/>
        </w:rPr>
        <w:t xml:space="preserve">R1 </w:t>
      </w:r>
      <w:r w:rsidR="00B76561">
        <w:rPr>
          <w:rFonts w:cs="Arial"/>
        </w:rPr>
        <w:t xml:space="preserve">and </w:t>
      </w:r>
      <w:r w:rsidR="00B76561">
        <w:rPr>
          <w:rFonts w:cs="Arial"/>
          <w:i/>
        </w:rPr>
        <w:t>R2</w:t>
      </w:r>
      <w:r w:rsidR="00B76561">
        <w:t>.</w:t>
      </w:r>
    </w:p>
    <w:p w14:paraId="0BEF9CF5" w14:textId="4D339BD7" w:rsidR="00B76561" w:rsidRPr="007875BC" w:rsidRDefault="00B76561" w:rsidP="00B76561">
      <w:pPr>
        <w:ind w:left="360"/>
        <w:jc w:val="both"/>
        <w:rPr>
          <w:b/>
          <w:bCs/>
        </w:rPr>
      </w:pPr>
      <w:r w:rsidRPr="007875BC">
        <w:rPr>
          <w:b/>
          <w:bCs/>
        </w:rPr>
        <w:t>Proposal 2: RAN2 is suggested to consider further enhancement</w:t>
      </w:r>
      <w:r w:rsidR="007875BC" w:rsidRPr="007875BC">
        <w:rPr>
          <w:b/>
          <w:bCs/>
        </w:rPr>
        <w:t>s</w:t>
      </w:r>
      <w:r w:rsidRPr="007875BC">
        <w:rPr>
          <w:b/>
          <w:bCs/>
        </w:rPr>
        <w:t xml:space="preserve"> </w:t>
      </w:r>
      <w:r w:rsidR="00083243">
        <w:rPr>
          <w:b/>
          <w:bCs/>
        </w:rPr>
        <w:t>for</w:t>
      </w:r>
      <w:r w:rsidR="007875BC" w:rsidRPr="007875BC">
        <w:rPr>
          <w:b/>
          <w:bCs/>
        </w:rPr>
        <w:t xml:space="preserve"> SL groupcast</w:t>
      </w:r>
      <w:r w:rsidR="00083243">
        <w:rPr>
          <w:b/>
          <w:bCs/>
        </w:rPr>
        <w:t xml:space="preserve"> LCP</w:t>
      </w:r>
      <w:r w:rsidR="007875BC" w:rsidRPr="007875BC">
        <w:rPr>
          <w:b/>
          <w:bCs/>
        </w:rPr>
        <w:t xml:space="preserve"> in release 17.</w:t>
      </w:r>
    </w:p>
    <w:p w14:paraId="5FF2457F" w14:textId="0BADE746" w:rsidR="00A209D6" w:rsidRPr="006E13D1" w:rsidRDefault="001612E7" w:rsidP="00A209D6">
      <w:pPr>
        <w:pStyle w:val="Heading1"/>
      </w:pPr>
      <w:r>
        <w:t>3</w:t>
      </w:r>
      <w:r w:rsidR="00A209D6" w:rsidRPr="006E13D1">
        <w:tab/>
      </w:r>
      <w:r w:rsidR="008C3057">
        <w:t>Conclusion</w:t>
      </w:r>
    </w:p>
    <w:p w14:paraId="6C60FFDC" w14:textId="5E83026C" w:rsidR="00A209D6" w:rsidRPr="006E13D1" w:rsidRDefault="005823F0" w:rsidP="00A209D6">
      <w:r>
        <w:t>This paper contains the following proposals related to</w:t>
      </w:r>
      <w:r w:rsidR="00FC783E">
        <w:t xml:space="preserve"> RAN2 scope</w:t>
      </w:r>
      <w:r w:rsidR="005F08A3">
        <w:t xml:space="preserve"> discussion</w:t>
      </w:r>
      <w:r w:rsidR="00FC783E">
        <w:t xml:space="preserve"> for release 17</w:t>
      </w:r>
      <w:r>
        <w:t>:</w:t>
      </w:r>
    </w:p>
    <w:p w14:paraId="653EED19" w14:textId="204A96B8" w:rsidR="00A209D6" w:rsidRDefault="00C0303E" w:rsidP="00A209D6">
      <w:pPr>
        <w:rPr>
          <w:b/>
          <w:bCs/>
        </w:rPr>
      </w:pPr>
      <w:r w:rsidRPr="00D53F80">
        <w:rPr>
          <w:b/>
          <w:bCs/>
        </w:rPr>
        <w:t xml:space="preserve">Proposal </w:t>
      </w:r>
      <w:r>
        <w:rPr>
          <w:b/>
          <w:bCs/>
        </w:rPr>
        <w:t>1</w:t>
      </w:r>
      <w:r w:rsidRPr="00D53F80">
        <w:rPr>
          <w:b/>
          <w:bCs/>
        </w:rPr>
        <w:t>: RAN2 is suggested to consider supporting simultaneous mode 1 and mode 2 in release 17</w:t>
      </w:r>
      <w:r>
        <w:rPr>
          <w:b/>
          <w:bCs/>
        </w:rPr>
        <w:t>, where different QoS flows can be mapped to different resource allocation modes</w:t>
      </w:r>
      <w:r w:rsidRPr="00D53F80">
        <w:rPr>
          <w:b/>
          <w:bCs/>
        </w:rPr>
        <w:t>.</w:t>
      </w:r>
    </w:p>
    <w:p w14:paraId="6884DFF7" w14:textId="4C90FFBD" w:rsidR="00C0303E" w:rsidRPr="00CD4C7B" w:rsidRDefault="00C0303E" w:rsidP="00A209D6">
      <w:r w:rsidRPr="007875BC">
        <w:rPr>
          <w:b/>
          <w:bCs/>
        </w:rPr>
        <w:t xml:space="preserve">Proposal 2: RAN2 is suggested to consider further enhancements </w:t>
      </w:r>
      <w:r>
        <w:rPr>
          <w:b/>
          <w:bCs/>
        </w:rPr>
        <w:t>for</w:t>
      </w:r>
      <w:r w:rsidRPr="007875BC">
        <w:rPr>
          <w:b/>
          <w:bCs/>
        </w:rPr>
        <w:t xml:space="preserve"> SL groupcast</w:t>
      </w:r>
      <w:r>
        <w:rPr>
          <w:b/>
          <w:bCs/>
        </w:rPr>
        <w:t xml:space="preserve"> LCP</w:t>
      </w:r>
      <w:r w:rsidRPr="007875BC">
        <w:rPr>
          <w:b/>
          <w:bCs/>
        </w:rPr>
        <w:t xml:space="preserve"> in release 17.</w:t>
      </w:r>
    </w:p>
    <w:p w14:paraId="7B9F22A9" w14:textId="77777777" w:rsidR="00C36080" w:rsidRPr="00DA3BC4" w:rsidRDefault="00C36080" w:rsidP="00C36080">
      <w:pPr>
        <w:pStyle w:val="Heading1"/>
        <w:rPr>
          <w:lang w:val="en-US"/>
        </w:rPr>
      </w:pPr>
      <w:r w:rsidRPr="00DA3BC4">
        <w:rPr>
          <w:lang w:val="en-US"/>
        </w:rPr>
        <w:t>References</w:t>
      </w:r>
    </w:p>
    <w:p w14:paraId="2301AAD4" w14:textId="3A7D191D" w:rsidR="00C36080" w:rsidRDefault="00C36080" w:rsidP="00C36080">
      <w:pPr>
        <w:ind w:left="1985" w:hanging="1985"/>
      </w:pPr>
      <w:r w:rsidRPr="00DA3BC4">
        <w:t xml:space="preserve">[1] </w:t>
      </w:r>
      <w:r w:rsidR="00180FF5">
        <w:t>RP-</w:t>
      </w:r>
      <w:r w:rsidR="00923B60">
        <w:t>190766</w:t>
      </w:r>
      <w:r w:rsidR="00180FF5">
        <w:t>, New WID on 5G V2X with NR sidelink, LG Electronics, Huawei</w:t>
      </w:r>
    </w:p>
    <w:p w14:paraId="6C392E32" w14:textId="6031A330" w:rsidR="00F26A11" w:rsidRPr="00DA3BC4" w:rsidRDefault="00F26A11" w:rsidP="00C36080">
      <w:pPr>
        <w:ind w:left="1985" w:hanging="1985"/>
      </w:pPr>
      <w:r>
        <w:t>[2] RP-200129, New WID on 5G V2X with NR sidelink, LG Electronics, Huawei</w:t>
      </w:r>
    </w:p>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2CFB0" w14:textId="77777777" w:rsidR="00CB3686" w:rsidRDefault="00CB3686">
      <w:r>
        <w:separator/>
      </w:r>
    </w:p>
  </w:endnote>
  <w:endnote w:type="continuationSeparator" w:id="0">
    <w:p w14:paraId="77EEB7D2" w14:textId="77777777" w:rsidR="00CB3686" w:rsidRDefault="00CB3686">
      <w:r>
        <w:continuationSeparator/>
      </w:r>
    </w:p>
  </w:endnote>
  <w:endnote w:type="continuationNotice" w:id="1">
    <w:p w14:paraId="009DC8C5" w14:textId="77777777" w:rsidR="00CB3686" w:rsidRDefault="00CB3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CAFE3" w14:textId="77777777" w:rsidR="00CB3686" w:rsidRDefault="00CB3686">
      <w:r>
        <w:separator/>
      </w:r>
    </w:p>
  </w:footnote>
  <w:footnote w:type="continuationSeparator" w:id="0">
    <w:p w14:paraId="783C9E78" w14:textId="77777777" w:rsidR="00CB3686" w:rsidRDefault="00CB3686">
      <w:r>
        <w:continuationSeparator/>
      </w:r>
    </w:p>
  </w:footnote>
  <w:footnote w:type="continuationNotice" w:id="1">
    <w:p w14:paraId="18FDE015" w14:textId="77777777" w:rsidR="00CB3686" w:rsidRDefault="00CB3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90253"/>
    <w:multiLevelType w:val="multilevel"/>
    <w:tmpl w:val="BFAA5C3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3E7725"/>
    <w:multiLevelType w:val="hybridMultilevel"/>
    <w:tmpl w:val="4878821E"/>
    <w:lvl w:ilvl="0" w:tplc="ABF09A6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9F6757"/>
    <w:multiLevelType w:val="hybridMultilevel"/>
    <w:tmpl w:val="94A8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950165D"/>
    <w:multiLevelType w:val="hybridMultilevel"/>
    <w:tmpl w:val="22E4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62426"/>
    <w:multiLevelType w:val="multilevel"/>
    <w:tmpl w:val="5D3624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9A45B25"/>
    <w:multiLevelType w:val="hybridMultilevel"/>
    <w:tmpl w:val="F34C672C"/>
    <w:lvl w:ilvl="0" w:tplc="6D224E02">
      <w:start w:val="1"/>
      <w:numFmt w:val="bullet"/>
      <w:lvlText w:val=""/>
      <w:lvlJc w:val="left"/>
      <w:pPr>
        <w:ind w:left="800" w:hanging="400"/>
      </w:pPr>
      <w:rPr>
        <w:rFonts w:ascii="Symbol" w:hAnsi="Symbol" w:hint="default"/>
        <w:lang w:val="en-GB"/>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5"/>
  </w:num>
  <w:num w:numId="11">
    <w:abstractNumId w:val="11"/>
  </w:num>
  <w:num w:numId="12">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8"/>
  </w:num>
  <w:num w:numId="14">
    <w:abstractNumId w:val="12"/>
  </w:num>
  <w:num w:numId="15">
    <w:abstractNumId w:val="4"/>
  </w:num>
  <w:num w:numId="16">
    <w:abstractNumId w:val="2"/>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6FDB"/>
    <w:rsid w:val="00050994"/>
    <w:rsid w:val="0006134C"/>
    <w:rsid w:val="00071407"/>
    <w:rsid w:val="00073C9C"/>
    <w:rsid w:val="00080512"/>
    <w:rsid w:val="00083243"/>
    <w:rsid w:val="000838E8"/>
    <w:rsid w:val="00090468"/>
    <w:rsid w:val="00090CA6"/>
    <w:rsid w:val="00093910"/>
    <w:rsid w:val="00094568"/>
    <w:rsid w:val="000A6307"/>
    <w:rsid w:val="000B7BCF"/>
    <w:rsid w:val="000C522B"/>
    <w:rsid w:val="000D58AB"/>
    <w:rsid w:val="000E7DB4"/>
    <w:rsid w:val="00106173"/>
    <w:rsid w:val="00112F1A"/>
    <w:rsid w:val="001138FF"/>
    <w:rsid w:val="00145075"/>
    <w:rsid w:val="00161065"/>
    <w:rsid w:val="001612E7"/>
    <w:rsid w:val="00167DFF"/>
    <w:rsid w:val="001741A0"/>
    <w:rsid w:val="00175FA0"/>
    <w:rsid w:val="00180FF5"/>
    <w:rsid w:val="00185F09"/>
    <w:rsid w:val="00194CD0"/>
    <w:rsid w:val="001B49C9"/>
    <w:rsid w:val="001C23F4"/>
    <w:rsid w:val="001C4F79"/>
    <w:rsid w:val="001E6170"/>
    <w:rsid w:val="001F168B"/>
    <w:rsid w:val="001F7831"/>
    <w:rsid w:val="0020039C"/>
    <w:rsid w:val="00204045"/>
    <w:rsid w:val="00206297"/>
    <w:rsid w:val="0020712B"/>
    <w:rsid w:val="00212CC6"/>
    <w:rsid w:val="002219B9"/>
    <w:rsid w:val="0022606D"/>
    <w:rsid w:val="00231728"/>
    <w:rsid w:val="00244A05"/>
    <w:rsid w:val="00250404"/>
    <w:rsid w:val="002610D8"/>
    <w:rsid w:val="002747EC"/>
    <w:rsid w:val="002855BF"/>
    <w:rsid w:val="00291F8C"/>
    <w:rsid w:val="002A056D"/>
    <w:rsid w:val="002B74AE"/>
    <w:rsid w:val="002C328F"/>
    <w:rsid w:val="002E4A04"/>
    <w:rsid w:val="002E5FDF"/>
    <w:rsid w:val="002F0D22"/>
    <w:rsid w:val="00307398"/>
    <w:rsid w:val="00311B17"/>
    <w:rsid w:val="00313C18"/>
    <w:rsid w:val="003172DC"/>
    <w:rsid w:val="00325AE3"/>
    <w:rsid w:val="00326069"/>
    <w:rsid w:val="0033069D"/>
    <w:rsid w:val="0035462D"/>
    <w:rsid w:val="0036459E"/>
    <w:rsid w:val="00364B41"/>
    <w:rsid w:val="00366C0D"/>
    <w:rsid w:val="00383096"/>
    <w:rsid w:val="0039346C"/>
    <w:rsid w:val="003A39CF"/>
    <w:rsid w:val="003A41EF"/>
    <w:rsid w:val="003A4C7E"/>
    <w:rsid w:val="003B40AD"/>
    <w:rsid w:val="003C4E37"/>
    <w:rsid w:val="003E16BE"/>
    <w:rsid w:val="003F4E28"/>
    <w:rsid w:val="004006E8"/>
    <w:rsid w:val="00401855"/>
    <w:rsid w:val="0041127A"/>
    <w:rsid w:val="004212B5"/>
    <w:rsid w:val="00465587"/>
    <w:rsid w:val="00477455"/>
    <w:rsid w:val="00485C4D"/>
    <w:rsid w:val="00487F6C"/>
    <w:rsid w:val="004A1F7B"/>
    <w:rsid w:val="004A3B6E"/>
    <w:rsid w:val="004A593A"/>
    <w:rsid w:val="004A643B"/>
    <w:rsid w:val="004C44D2"/>
    <w:rsid w:val="004D3578"/>
    <w:rsid w:val="004D380D"/>
    <w:rsid w:val="004D5B74"/>
    <w:rsid w:val="004D5EDD"/>
    <w:rsid w:val="004D7085"/>
    <w:rsid w:val="004E213A"/>
    <w:rsid w:val="00503171"/>
    <w:rsid w:val="00506C28"/>
    <w:rsid w:val="00514C6A"/>
    <w:rsid w:val="00534DA0"/>
    <w:rsid w:val="00543E6C"/>
    <w:rsid w:val="00552503"/>
    <w:rsid w:val="005555BA"/>
    <w:rsid w:val="00561F47"/>
    <w:rsid w:val="00562DE2"/>
    <w:rsid w:val="00565087"/>
    <w:rsid w:val="0056573F"/>
    <w:rsid w:val="00571279"/>
    <w:rsid w:val="005823F0"/>
    <w:rsid w:val="005A49C6"/>
    <w:rsid w:val="005C397F"/>
    <w:rsid w:val="005C5A73"/>
    <w:rsid w:val="005F08A3"/>
    <w:rsid w:val="00611566"/>
    <w:rsid w:val="00614717"/>
    <w:rsid w:val="00640C78"/>
    <w:rsid w:val="00642CAA"/>
    <w:rsid w:val="00646D99"/>
    <w:rsid w:val="00656910"/>
    <w:rsid w:val="006574C0"/>
    <w:rsid w:val="006576D1"/>
    <w:rsid w:val="006603E0"/>
    <w:rsid w:val="00664408"/>
    <w:rsid w:val="006715FF"/>
    <w:rsid w:val="00673922"/>
    <w:rsid w:val="00677390"/>
    <w:rsid w:val="0068234D"/>
    <w:rsid w:val="00696821"/>
    <w:rsid w:val="006A3626"/>
    <w:rsid w:val="006B378A"/>
    <w:rsid w:val="006C66D8"/>
    <w:rsid w:val="006D1E24"/>
    <w:rsid w:val="006D35DE"/>
    <w:rsid w:val="006E1417"/>
    <w:rsid w:val="006F6A2C"/>
    <w:rsid w:val="007063AC"/>
    <w:rsid w:val="007069DC"/>
    <w:rsid w:val="00710201"/>
    <w:rsid w:val="00715055"/>
    <w:rsid w:val="0072073A"/>
    <w:rsid w:val="007219F9"/>
    <w:rsid w:val="007342B5"/>
    <w:rsid w:val="00734A5B"/>
    <w:rsid w:val="00744E76"/>
    <w:rsid w:val="00757D40"/>
    <w:rsid w:val="007662B5"/>
    <w:rsid w:val="00781F0F"/>
    <w:rsid w:val="0078727C"/>
    <w:rsid w:val="007875BC"/>
    <w:rsid w:val="0079049D"/>
    <w:rsid w:val="00793DC5"/>
    <w:rsid w:val="007A64C5"/>
    <w:rsid w:val="007A6B44"/>
    <w:rsid w:val="007B18D8"/>
    <w:rsid w:val="007B7CAF"/>
    <w:rsid w:val="007C095F"/>
    <w:rsid w:val="007C2DD0"/>
    <w:rsid w:val="007F2E08"/>
    <w:rsid w:val="00801988"/>
    <w:rsid w:val="008028A4"/>
    <w:rsid w:val="008079E3"/>
    <w:rsid w:val="00813245"/>
    <w:rsid w:val="00815EF1"/>
    <w:rsid w:val="00840DE0"/>
    <w:rsid w:val="0086354A"/>
    <w:rsid w:val="008768CA"/>
    <w:rsid w:val="00877EF9"/>
    <w:rsid w:val="00880559"/>
    <w:rsid w:val="008B5306"/>
    <w:rsid w:val="008C18C7"/>
    <w:rsid w:val="008C2E2A"/>
    <w:rsid w:val="008C3057"/>
    <w:rsid w:val="008C3A76"/>
    <w:rsid w:val="008D1B90"/>
    <w:rsid w:val="008D2E4D"/>
    <w:rsid w:val="008E2739"/>
    <w:rsid w:val="008F2D1A"/>
    <w:rsid w:val="008F396F"/>
    <w:rsid w:val="008F3DCD"/>
    <w:rsid w:val="0090271F"/>
    <w:rsid w:val="00902DB9"/>
    <w:rsid w:val="0090466A"/>
    <w:rsid w:val="00923655"/>
    <w:rsid w:val="00923B60"/>
    <w:rsid w:val="009302BF"/>
    <w:rsid w:val="00936071"/>
    <w:rsid w:val="009376CD"/>
    <w:rsid w:val="00940212"/>
    <w:rsid w:val="009403C6"/>
    <w:rsid w:val="00942EC2"/>
    <w:rsid w:val="00961B32"/>
    <w:rsid w:val="00962509"/>
    <w:rsid w:val="00970DB3"/>
    <w:rsid w:val="00974BB0"/>
    <w:rsid w:val="00975BCD"/>
    <w:rsid w:val="009928A9"/>
    <w:rsid w:val="009A0AF3"/>
    <w:rsid w:val="009A48DB"/>
    <w:rsid w:val="009B07CD"/>
    <w:rsid w:val="009C19E9"/>
    <w:rsid w:val="009D486E"/>
    <w:rsid w:val="009D74A6"/>
    <w:rsid w:val="009E0E87"/>
    <w:rsid w:val="009E2F4C"/>
    <w:rsid w:val="00A10F02"/>
    <w:rsid w:val="00A11695"/>
    <w:rsid w:val="00A1506D"/>
    <w:rsid w:val="00A204CA"/>
    <w:rsid w:val="00A209D6"/>
    <w:rsid w:val="00A22738"/>
    <w:rsid w:val="00A43A06"/>
    <w:rsid w:val="00A53724"/>
    <w:rsid w:val="00A54B2B"/>
    <w:rsid w:val="00A70B2C"/>
    <w:rsid w:val="00A82346"/>
    <w:rsid w:val="00A9671C"/>
    <w:rsid w:val="00AA1553"/>
    <w:rsid w:val="00AB459F"/>
    <w:rsid w:val="00AC3E13"/>
    <w:rsid w:val="00AD651D"/>
    <w:rsid w:val="00B05380"/>
    <w:rsid w:val="00B05962"/>
    <w:rsid w:val="00B15449"/>
    <w:rsid w:val="00B16C2F"/>
    <w:rsid w:val="00B27303"/>
    <w:rsid w:val="00B448B8"/>
    <w:rsid w:val="00B47FD1"/>
    <w:rsid w:val="00B516BB"/>
    <w:rsid w:val="00B60C23"/>
    <w:rsid w:val="00B76561"/>
    <w:rsid w:val="00B84DB2"/>
    <w:rsid w:val="00B96F63"/>
    <w:rsid w:val="00BB041E"/>
    <w:rsid w:val="00BC3555"/>
    <w:rsid w:val="00BE2CA6"/>
    <w:rsid w:val="00BE4F29"/>
    <w:rsid w:val="00BF2DCF"/>
    <w:rsid w:val="00C0303E"/>
    <w:rsid w:val="00C05C69"/>
    <w:rsid w:val="00C12B51"/>
    <w:rsid w:val="00C24650"/>
    <w:rsid w:val="00C25465"/>
    <w:rsid w:val="00C33079"/>
    <w:rsid w:val="00C36080"/>
    <w:rsid w:val="00C40837"/>
    <w:rsid w:val="00C6553E"/>
    <w:rsid w:val="00C727B3"/>
    <w:rsid w:val="00C83A13"/>
    <w:rsid w:val="00C9068C"/>
    <w:rsid w:val="00C92967"/>
    <w:rsid w:val="00CA21E9"/>
    <w:rsid w:val="00CA3D0C"/>
    <w:rsid w:val="00CA654B"/>
    <w:rsid w:val="00CB3686"/>
    <w:rsid w:val="00CB3AE4"/>
    <w:rsid w:val="00CB72B8"/>
    <w:rsid w:val="00CD4C7B"/>
    <w:rsid w:val="00CD58FE"/>
    <w:rsid w:val="00CF5E9F"/>
    <w:rsid w:val="00CF7760"/>
    <w:rsid w:val="00D323AE"/>
    <w:rsid w:val="00D33BE3"/>
    <w:rsid w:val="00D3792D"/>
    <w:rsid w:val="00D55E47"/>
    <w:rsid w:val="00D62E19"/>
    <w:rsid w:val="00D67CD1"/>
    <w:rsid w:val="00D738D6"/>
    <w:rsid w:val="00D74BFC"/>
    <w:rsid w:val="00D80795"/>
    <w:rsid w:val="00D854BE"/>
    <w:rsid w:val="00D873A5"/>
    <w:rsid w:val="00D87E00"/>
    <w:rsid w:val="00D9134D"/>
    <w:rsid w:val="00D9497C"/>
    <w:rsid w:val="00D96D11"/>
    <w:rsid w:val="00DA7A03"/>
    <w:rsid w:val="00DB0DB8"/>
    <w:rsid w:val="00DB1818"/>
    <w:rsid w:val="00DC309B"/>
    <w:rsid w:val="00DC4DA2"/>
    <w:rsid w:val="00DC5261"/>
    <w:rsid w:val="00DC600C"/>
    <w:rsid w:val="00DD1DA0"/>
    <w:rsid w:val="00DE25D2"/>
    <w:rsid w:val="00DE6855"/>
    <w:rsid w:val="00E408D8"/>
    <w:rsid w:val="00E46C08"/>
    <w:rsid w:val="00E471CF"/>
    <w:rsid w:val="00E62835"/>
    <w:rsid w:val="00E72091"/>
    <w:rsid w:val="00E77645"/>
    <w:rsid w:val="00E83697"/>
    <w:rsid w:val="00E84DB8"/>
    <w:rsid w:val="00E9004B"/>
    <w:rsid w:val="00EA66C9"/>
    <w:rsid w:val="00EC4A25"/>
    <w:rsid w:val="00EE0E4B"/>
    <w:rsid w:val="00EF612C"/>
    <w:rsid w:val="00F025A2"/>
    <w:rsid w:val="00F036E9"/>
    <w:rsid w:val="00F04C9E"/>
    <w:rsid w:val="00F07388"/>
    <w:rsid w:val="00F07716"/>
    <w:rsid w:val="00F2026E"/>
    <w:rsid w:val="00F2210A"/>
    <w:rsid w:val="00F26A11"/>
    <w:rsid w:val="00F30FA4"/>
    <w:rsid w:val="00F37743"/>
    <w:rsid w:val="00F43749"/>
    <w:rsid w:val="00F54A3D"/>
    <w:rsid w:val="00F54CB0"/>
    <w:rsid w:val="00F579CD"/>
    <w:rsid w:val="00F653B8"/>
    <w:rsid w:val="00F71B89"/>
    <w:rsid w:val="00F7353C"/>
    <w:rsid w:val="00F76F8F"/>
    <w:rsid w:val="00F941DF"/>
    <w:rsid w:val="00FA1266"/>
    <w:rsid w:val="00FA7D44"/>
    <w:rsid w:val="00FB36FA"/>
    <w:rsid w:val="00FC1192"/>
    <w:rsid w:val="00FC4513"/>
    <w:rsid w:val="00FC783E"/>
    <w:rsid w:val="00FE091C"/>
    <w:rsid w:val="00FE0F48"/>
    <w:rsid w:val="00FE251B"/>
    <w:rsid w:val="00FE37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 ??,?????,????,Lista1"/>
    <w:basedOn w:val="Normal"/>
    <w:link w:val="ListParagraphChar"/>
    <w:uiPriority w:val="34"/>
    <w:qFormat/>
    <w:rsid w:val="005823F0"/>
    <w:pPr>
      <w:ind w:left="720"/>
      <w:contextualSpacing/>
    </w:pPr>
  </w:style>
  <w:style w:type="paragraph" w:styleId="CommentText">
    <w:name w:val="annotation text"/>
    <w:basedOn w:val="Normal"/>
    <w:link w:val="CommentTextChar"/>
    <w:uiPriority w:val="99"/>
    <w:rsid w:val="005823F0"/>
  </w:style>
  <w:style w:type="character" w:customStyle="1" w:styleId="CommentTextChar">
    <w:name w:val="Comment Text Char"/>
    <w:basedOn w:val="DefaultParagraphFont"/>
    <w:link w:val="CommentText"/>
    <w:uiPriority w:val="99"/>
    <w:rsid w:val="005823F0"/>
    <w:rPr>
      <w:lang w:eastAsia="en-US"/>
    </w:rPr>
  </w:style>
  <w:style w:type="character" w:styleId="FollowedHyperlink">
    <w:name w:val="FollowedHyperlink"/>
    <w:basedOn w:val="DefaultParagraphFont"/>
    <w:rsid w:val="000A6307"/>
    <w:rPr>
      <w:color w:val="954F72" w:themeColor="followedHyperlink"/>
      <w:u w:val="single"/>
    </w:rPr>
  </w:style>
  <w:style w:type="character" w:styleId="CommentReference">
    <w:name w:val="annotation reference"/>
    <w:basedOn w:val="DefaultParagraphFont"/>
    <w:rsid w:val="00161065"/>
    <w:rPr>
      <w:sz w:val="16"/>
      <w:szCs w:val="16"/>
    </w:rPr>
  </w:style>
  <w:style w:type="paragraph" w:styleId="CommentSubject">
    <w:name w:val="annotation subject"/>
    <w:basedOn w:val="CommentText"/>
    <w:next w:val="CommentText"/>
    <w:link w:val="CommentSubjectChar"/>
    <w:rsid w:val="00161065"/>
    <w:rPr>
      <w:b/>
      <w:bCs/>
    </w:rPr>
  </w:style>
  <w:style w:type="character" w:customStyle="1" w:styleId="CommentSubjectChar">
    <w:name w:val="Comment Subject Char"/>
    <w:basedOn w:val="CommentTextChar"/>
    <w:link w:val="CommentSubject"/>
    <w:rsid w:val="00161065"/>
    <w:rPr>
      <w:b/>
      <w:bCs/>
      <w:lang w:eastAsia="en-US"/>
    </w:rPr>
  </w:style>
  <w:style w:type="table" w:styleId="TableGrid">
    <w:name w:val="Table Grid"/>
    <w:basedOn w:val="TableNormal"/>
    <w:uiPriority w:val="39"/>
    <w:rsid w:val="00BF2DCF"/>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
    <w:link w:val="ListParagraph"/>
    <w:uiPriority w:val="34"/>
    <w:qFormat/>
    <w:locked/>
    <w:rsid w:val="00642CAA"/>
    <w:rPr>
      <w:lang w:eastAsia="en-US"/>
    </w:rPr>
  </w:style>
  <w:style w:type="paragraph" w:styleId="Caption">
    <w:name w:val="caption"/>
    <w:basedOn w:val="Normal"/>
    <w:next w:val="Normal"/>
    <w:unhideWhenUsed/>
    <w:qFormat/>
    <w:rsid w:val="006B378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if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archive/22_series/22.886/22886-g2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5AIRPNAIUNRU-859666464-7611</_dlc_DocId>
    <_dlc_DocIdUrl xmlns="71c5aaf6-e6ce-465b-b873-5148d2a4c105">
      <Url>https://nokia.sharepoint.com/sites/c5g/e2earch/_layouts/15/DocIdRedir.aspx?ID=5AIRPNAIUNRU-859666464-7611</Url>
      <Description>5AIRPNAIUNRU-859666464-7611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900</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59</cp:revision>
  <dcterms:created xsi:type="dcterms:W3CDTF">2020-10-21T10:49:00Z</dcterms:created>
  <dcterms:modified xsi:type="dcterms:W3CDTF">2020-10-22T18:07:00Z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ef1f3bf4-c0b1-40e6-9324-fe1c428d156f</vt:lpwstr>
  </property>
</Properties>
</file>